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855FD" w:rsidRDefault="004A7F6B">
      <w:pPr>
        <w:tabs>
          <w:tab w:val="left" w:pos="284"/>
        </w:tabs>
        <w:suppressAutoHyphens w:val="0"/>
        <w:jc w:val="both"/>
        <w:rPr>
          <w:rFonts w:ascii="Arial" w:hAnsi="Arial" w:cs="Arial"/>
          <w:b/>
          <w:bCs/>
          <w:sz w:val="18"/>
          <w:szCs w:val="18"/>
          <w:lang w:val="tr-TR" w:eastAsia="en-US"/>
        </w:rPr>
      </w:pPr>
      <w:bookmarkStart w:id="0" w:name="_GoBack"/>
      <w:bookmarkEnd w:id="0"/>
      <w:r>
        <w:rPr>
          <w:rFonts w:ascii="Arial" w:hAnsi="Arial" w:cs="Arial"/>
          <w:b/>
          <w:bCs/>
          <w:sz w:val="18"/>
          <w:szCs w:val="18"/>
          <w:lang w:val="tr-TR" w:eastAsia="en-US"/>
        </w:rPr>
        <w:t>Mikrobiyal DNA Ekstaraksiyonu</w:t>
      </w:r>
    </w:p>
    <w:p w:rsidR="00C855FD" w:rsidRDefault="004A7F6B">
      <w:pPr>
        <w:ind w:left="-284" w:right="-709"/>
        <w:jc w:val="both"/>
        <w:rPr>
          <w:rFonts w:ascii="Times New Roman" w:hAnsi="Times New Roman" w:cs="Times New Roman"/>
        </w:rPr>
      </w:pPr>
      <w:r>
        <w:rPr>
          <w:rFonts w:ascii="Times New Roman" w:hAnsi="Times New Roman" w:cs="Times New Roman"/>
        </w:rPr>
        <w:t>Dışkı numuneleri DiaRex® Stool Genomic DNA Extraction Kit (Kat No: SD-0323, Ankara) kullanılarak yapıldı. Kısaca 25-50 mg dışkı numunesi üzerine 250µl Stool Lysis (SLD) solüsyonu eklendi. Ardından üzerine 15mg cam ve 10 adet zirkon boncuk eklenerek homojenizatör cihazında 4000 rpm 2 x 20 saniye uygulama yapıldı. Homojenizasyondan sonra üzerine 25µl Proteinaz K (PKD) solüsyonu eklendi ve 56oC’ de 60 dakika inkübasyon yapıldı. İnkübasyon sonunda tüm içerik 5000 g’ de 5 dakika santrifüj yapılarak süpernatant yeni tüpe aktarıldı. Süpernatant üzerine 200µl Lysis (LBD) solüsyonu eklendi ve 70oC’ de 10 dakika inkübasyon yapıldı. İnkübasyonun ardından lizata 250 µl mutlak etanol eklendi ve tüm içerik kolona aktarıldı. Kolon 8000 g x 1 dakika santrifüj yapıldıktan sonra yeni tüpe aktarıldı. Ardından kit protokolüne göre yıkamalar yapıldıktan sonra 100µl Elüsyon (EBD) solüsyonu eklendi ve 2 dakika İnkübasyondan sonra 8000 g x 1 dakika santrifüj yapılarak genomik DNA elde edildi.</w:t>
      </w:r>
    </w:p>
    <w:p w:rsidR="00C855FD" w:rsidRDefault="00C855FD">
      <w:pPr>
        <w:ind w:left="-284" w:right="-709"/>
        <w:jc w:val="both"/>
        <w:rPr>
          <w:rFonts w:ascii="Times New Roman" w:hAnsi="Times New Roman" w:cs="Times New Roman"/>
        </w:rPr>
      </w:pPr>
    </w:p>
    <w:p w:rsidR="00C855FD" w:rsidRDefault="00C855FD">
      <w:pPr>
        <w:ind w:left="-284" w:right="-709"/>
        <w:jc w:val="both"/>
        <w:rPr>
          <w:rFonts w:ascii="Times New Roman" w:hAnsi="Times New Roman" w:cs="Times New Roman"/>
        </w:rPr>
      </w:pPr>
    </w:p>
    <w:p w:rsidR="00C855FD" w:rsidRDefault="004A7F6B">
      <w:pPr>
        <w:rPr>
          <w:rFonts w:ascii="Arial" w:hAnsi="Arial" w:cs="Arial"/>
          <w:b/>
          <w:bCs/>
          <w:color w:val="000000"/>
          <w:sz w:val="18"/>
          <w:szCs w:val="18"/>
          <w:lang w:val="tr-TR"/>
        </w:rPr>
      </w:pPr>
      <w:r>
        <w:rPr>
          <w:rFonts w:ascii="Arial" w:hAnsi="Arial" w:cs="Arial"/>
          <w:b/>
          <w:bCs/>
          <w:color w:val="000000"/>
          <w:sz w:val="18"/>
          <w:szCs w:val="18"/>
          <w:lang w:val="tr-TR"/>
        </w:rPr>
        <w:t>Nanodrop Ölçüm Protokolü</w:t>
      </w:r>
    </w:p>
    <w:p w:rsidR="00C855FD" w:rsidRDefault="004A7F6B">
      <w:pPr>
        <w:jc w:val="both"/>
        <w:rPr>
          <w:rFonts w:ascii="Arial" w:hAnsi="Arial" w:cs="Arial"/>
          <w:color w:val="000000"/>
          <w:sz w:val="18"/>
          <w:szCs w:val="18"/>
          <w:lang w:val="tr-TR"/>
        </w:rPr>
      </w:pPr>
      <w:r>
        <w:rPr>
          <w:rFonts w:ascii="Arial" w:hAnsi="Arial" w:cs="Arial"/>
          <w:color w:val="000000"/>
          <w:sz w:val="18"/>
          <w:szCs w:val="18"/>
          <w:lang w:val="tr-TR"/>
        </w:rPr>
        <w:t>Colibri Titertek Berthold cihazı kullanılarak DNA ölçümleri gerçekleştirilir. Cihaz çalıştırıldıktan sonra nükleik asit sekmesine tıklanır. Sekme açıldıktan sonra örnek tipi DNA-50, ışık yolu uzunluğu otomatik olacak şekilde parametreler ayarlanır. Cihazın kapağı açıldıktan sonra körleme için kit içerisinde bulunan elüsyon bufferdan 2ul konulup kapak kapatıldıktan sonra blank seçeneğine tıklanır. Körleme işlemi bittikten sonra kapak açılır temiz peçete ile elüsyon buffer temizlenir. Numunelerden sırasıyla 2ul alınıp ölçüm seçeneği kullanılarak DNA ölçme işlemi tamamlanır.</w:t>
      </w:r>
    </w:p>
    <w:p w:rsidR="00C855FD" w:rsidRDefault="004A7F6B">
      <w:pPr>
        <w:jc w:val="both"/>
      </w:pPr>
      <w:r>
        <w:rPr>
          <w:rFonts w:ascii="Arial" w:hAnsi="Arial" w:cs="Arial"/>
          <w:color w:val="000000"/>
          <w:sz w:val="18"/>
          <w:szCs w:val="18"/>
          <w:lang w:val="tr-TR"/>
        </w:rPr>
        <w:t>(</w:t>
      </w:r>
      <w:hyperlink r:id="rId5">
        <w:r>
          <w:rPr>
            <w:rStyle w:val="Kpr"/>
            <w:rFonts w:ascii="Arial" w:hAnsi="Arial" w:cs="Arial"/>
            <w:color w:val="000000"/>
            <w:sz w:val="18"/>
            <w:szCs w:val="18"/>
            <w:u w:val="none"/>
            <w:lang w:val="tr-TR"/>
          </w:rPr>
          <w:t>http://www.titertek-berthold.com/microvolumespectrometers/details/product/colibri/action/show.html</w:t>
        </w:r>
      </w:hyperlink>
      <w:r>
        <w:rPr>
          <w:rStyle w:val="Kpr"/>
          <w:rFonts w:ascii="Arial" w:hAnsi="Arial" w:cs="Arial"/>
          <w:color w:val="000000"/>
          <w:sz w:val="18"/>
          <w:szCs w:val="18"/>
          <w:u w:val="none"/>
          <w:lang w:val="tr-TR"/>
        </w:rPr>
        <w:t xml:space="preserve"> )</w:t>
      </w:r>
    </w:p>
    <w:p w:rsidR="00C855FD" w:rsidRDefault="004A7F6B">
      <w:pPr>
        <w:jc w:val="center"/>
        <w:rPr>
          <w:rFonts w:ascii="Arial" w:hAnsi="Arial" w:cs="Arial"/>
          <w:b/>
          <w:sz w:val="18"/>
          <w:szCs w:val="18"/>
          <w:lang w:val="tr-TR"/>
        </w:rPr>
      </w:pPr>
      <w:r>
        <w:rPr>
          <w:rFonts w:ascii="Arial" w:hAnsi="Arial" w:cs="Arial"/>
          <w:b/>
          <w:sz w:val="18"/>
          <w:szCs w:val="18"/>
          <w:lang w:val="tr-TR"/>
        </w:rPr>
        <w:t>QUBİT FLOROMETER 2 CİHAZI İLE DNA ÖLÇÜM İŞLEMİ</w:t>
      </w:r>
    </w:p>
    <w:p w:rsidR="00C855FD" w:rsidRDefault="004A7F6B">
      <w:pPr>
        <w:rPr>
          <w:rFonts w:ascii="Arial" w:hAnsi="Arial" w:cs="Arial"/>
          <w:b/>
          <w:sz w:val="18"/>
          <w:szCs w:val="18"/>
        </w:rPr>
      </w:pPr>
      <w:r>
        <w:rPr>
          <w:rFonts w:ascii="Arial" w:hAnsi="Arial" w:cs="Arial"/>
          <w:b/>
          <w:sz w:val="18"/>
          <w:szCs w:val="18"/>
        </w:rPr>
        <w:t>Ön Hazırlık;</w:t>
      </w:r>
    </w:p>
    <w:p w:rsidR="00C855FD" w:rsidRDefault="004A7F6B">
      <w:r>
        <w:rPr>
          <w:rFonts w:ascii="Arial" w:hAnsi="Arial" w:cs="Arial"/>
          <w:bCs/>
          <w:sz w:val="18"/>
          <w:szCs w:val="18"/>
        </w:rPr>
        <w:t xml:space="preserve">Qubit ™ dsDNA HS Kit (ThermoFisher, </w:t>
      </w:r>
      <w:r>
        <w:rPr>
          <w:rFonts w:ascii="Arial" w:hAnsi="Arial" w:cs="Arial"/>
          <w:bCs/>
          <w:color w:val="333333"/>
          <w:sz w:val="18"/>
          <w:szCs w:val="18"/>
          <w:shd w:val="clear" w:color="auto" w:fill="FFFFFF"/>
        </w:rPr>
        <w:t>PicoGreen® Dye</w:t>
      </w:r>
      <w:r>
        <w:rPr>
          <w:rFonts w:ascii="Arial" w:hAnsi="Arial" w:cs="Arial"/>
          <w:bCs/>
          <w:sz w:val="18"/>
          <w:szCs w:val="18"/>
        </w:rPr>
        <w:t>)</w:t>
      </w:r>
    </w:p>
    <w:p w:rsidR="00C855FD" w:rsidRDefault="004A7F6B">
      <w:pPr>
        <w:rPr>
          <w:rFonts w:ascii="Arial" w:hAnsi="Arial" w:cs="Arial"/>
          <w:bCs/>
          <w:sz w:val="18"/>
          <w:szCs w:val="18"/>
        </w:rPr>
      </w:pPr>
      <w:r>
        <w:rPr>
          <w:rFonts w:ascii="Arial" w:hAnsi="Arial" w:cs="Arial"/>
          <w:bCs/>
          <w:sz w:val="18"/>
          <w:szCs w:val="18"/>
        </w:rPr>
        <w:t>1.Öncelikle kullanılacak miktar kadar çalışma solüsyonu hazırlanır;</w:t>
      </w:r>
    </w:p>
    <w:p w:rsidR="00C855FD" w:rsidRDefault="004A7F6B">
      <w:pPr>
        <w:ind w:firstLine="708"/>
        <w:rPr>
          <w:rFonts w:ascii="Arial" w:hAnsi="Arial" w:cs="Arial"/>
          <w:bCs/>
          <w:sz w:val="18"/>
          <w:szCs w:val="18"/>
        </w:rPr>
      </w:pPr>
      <w:r>
        <w:rPr>
          <w:rFonts w:ascii="Arial" w:hAnsi="Arial" w:cs="Arial"/>
          <w:bCs/>
          <w:sz w:val="18"/>
          <w:szCs w:val="18"/>
        </w:rPr>
        <w:t>A.Qubit Reagent (1 µl x (N+2))</w:t>
      </w:r>
    </w:p>
    <w:p w:rsidR="00C855FD" w:rsidRDefault="004A7F6B">
      <w:pPr>
        <w:ind w:firstLine="708"/>
        <w:rPr>
          <w:rFonts w:ascii="Arial" w:hAnsi="Arial" w:cs="Arial"/>
          <w:bCs/>
          <w:sz w:val="18"/>
          <w:szCs w:val="18"/>
        </w:rPr>
      </w:pPr>
      <w:r>
        <w:rPr>
          <w:rFonts w:ascii="Arial" w:hAnsi="Arial" w:cs="Arial"/>
          <w:bCs/>
          <w:sz w:val="18"/>
          <w:szCs w:val="18"/>
        </w:rPr>
        <w:t>B.Qubit Buffer (199 µl x (N+2))</w:t>
      </w:r>
    </w:p>
    <w:p w:rsidR="00C855FD" w:rsidRDefault="004A7F6B">
      <w:r>
        <w:rPr>
          <w:rFonts w:ascii="Arial" w:eastAsia="Arial" w:hAnsi="Arial" w:cs="Arial"/>
          <w:bCs/>
          <w:sz w:val="18"/>
          <w:szCs w:val="18"/>
        </w:rPr>
        <w:t xml:space="preserve">              </w:t>
      </w:r>
      <w:r>
        <w:rPr>
          <w:rFonts w:ascii="Arial" w:hAnsi="Arial" w:cs="Arial"/>
          <w:bCs/>
          <w:sz w:val="18"/>
          <w:szCs w:val="18"/>
        </w:rPr>
        <w:t xml:space="preserve">N: Çalışma sayısı </w:t>
      </w:r>
    </w:p>
    <w:p w:rsidR="00C855FD" w:rsidRDefault="004A7F6B">
      <w:pPr>
        <w:rPr>
          <w:rFonts w:ascii="Arial" w:hAnsi="Arial" w:cs="Arial"/>
          <w:bCs/>
          <w:sz w:val="18"/>
          <w:szCs w:val="18"/>
        </w:rPr>
      </w:pPr>
      <w:r>
        <w:rPr>
          <w:rFonts w:ascii="Arial" w:hAnsi="Arial" w:cs="Arial"/>
          <w:bCs/>
          <w:sz w:val="18"/>
          <w:szCs w:val="18"/>
        </w:rPr>
        <w:t>2.Standart Çözelti İçin;</w:t>
      </w:r>
    </w:p>
    <w:p w:rsidR="00C855FD" w:rsidRDefault="004A7F6B">
      <w:pPr>
        <w:rPr>
          <w:rFonts w:ascii="Arial" w:hAnsi="Arial" w:cs="Arial"/>
          <w:bCs/>
          <w:sz w:val="18"/>
          <w:szCs w:val="18"/>
        </w:rPr>
      </w:pPr>
      <w:r>
        <w:rPr>
          <w:rFonts w:ascii="Arial" w:hAnsi="Arial" w:cs="Arial"/>
          <w:bCs/>
          <w:sz w:val="18"/>
          <w:szCs w:val="18"/>
        </w:rPr>
        <w:t>Standart A ve B’den 10’ar µl alınıp ayrı ayrı 0,5ml’lik mikrosantrifüj tüplere eklenir. Üzerlerine çalışma solüsyonundan 190’ar µl eklenir. Kısa süreli vorteks yapılır.</w:t>
      </w:r>
    </w:p>
    <w:p w:rsidR="00C855FD" w:rsidRDefault="004A7F6B">
      <w:pPr>
        <w:rPr>
          <w:rFonts w:ascii="Arial" w:hAnsi="Arial" w:cs="Arial"/>
          <w:bCs/>
          <w:sz w:val="18"/>
          <w:szCs w:val="18"/>
        </w:rPr>
      </w:pPr>
      <w:r>
        <w:rPr>
          <w:rFonts w:ascii="Arial" w:hAnsi="Arial" w:cs="Arial"/>
          <w:bCs/>
          <w:sz w:val="18"/>
          <w:szCs w:val="18"/>
        </w:rPr>
        <w:t>3.Örnek Çalışmanın Hazırlanması;</w:t>
      </w:r>
    </w:p>
    <w:p w:rsidR="00C855FD" w:rsidRDefault="004A7F6B">
      <w:pPr>
        <w:rPr>
          <w:rFonts w:ascii="Arial" w:hAnsi="Arial" w:cs="Arial"/>
          <w:bCs/>
          <w:sz w:val="18"/>
          <w:szCs w:val="18"/>
        </w:rPr>
      </w:pPr>
      <w:r>
        <w:rPr>
          <w:rFonts w:ascii="Arial" w:hAnsi="Arial" w:cs="Arial"/>
          <w:bCs/>
          <w:sz w:val="18"/>
          <w:szCs w:val="18"/>
        </w:rPr>
        <w:t xml:space="preserve">Bir 0,5ml’lik mikrosantrifüj tüpüne 198 µl çalışma solüsyonundan alınıp içerisine 2 µl DNA eklenir. Kısa vorteks yapılarak cihazda okutulur. </w:t>
      </w:r>
    </w:p>
    <w:p w:rsidR="00C855FD" w:rsidRDefault="004A7F6B">
      <w:pPr>
        <w:rPr>
          <w:rFonts w:ascii="Arial" w:hAnsi="Arial" w:cs="Arial"/>
          <w:bCs/>
          <w:sz w:val="18"/>
          <w:szCs w:val="18"/>
        </w:rPr>
      </w:pPr>
      <w:r>
        <w:rPr>
          <w:rFonts w:ascii="Arial" w:hAnsi="Arial" w:cs="Arial"/>
          <w:bCs/>
          <w:sz w:val="18"/>
          <w:szCs w:val="18"/>
        </w:rPr>
        <w:t>Örnek Okutma İşlem Sırası</w:t>
      </w:r>
    </w:p>
    <w:p w:rsidR="00C855FD" w:rsidRDefault="004A7F6B">
      <w:pPr>
        <w:pStyle w:val="ListeParagraf"/>
        <w:numPr>
          <w:ilvl w:val="0"/>
          <w:numId w:val="1"/>
        </w:numPr>
        <w:suppressAutoHyphens w:val="0"/>
        <w:contextualSpacing/>
        <w:rPr>
          <w:rFonts w:ascii="Arial" w:hAnsi="Arial" w:cs="Arial"/>
          <w:bCs/>
          <w:sz w:val="18"/>
          <w:szCs w:val="18"/>
        </w:rPr>
      </w:pPr>
      <w:r>
        <w:rPr>
          <w:rFonts w:ascii="Arial" w:hAnsi="Arial" w:cs="Arial"/>
          <w:bCs/>
          <w:sz w:val="18"/>
          <w:szCs w:val="18"/>
        </w:rPr>
        <w:t>Cihazda DNA seçeneği seçilmelidir.</w:t>
      </w:r>
    </w:p>
    <w:p w:rsidR="00C855FD" w:rsidRDefault="004A7F6B">
      <w:pPr>
        <w:pStyle w:val="ListeParagraf"/>
        <w:numPr>
          <w:ilvl w:val="0"/>
          <w:numId w:val="1"/>
        </w:numPr>
        <w:suppressAutoHyphens w:val="0"/>
        <w:contextualSpacing/>
        <w:rPr>
          <w:rFonts w:ascii="Arial" w:hAnsi="Arial" w:cs="Arial"/>
          <w:bCs/>
          <w:sz w:val="18"/>
          <w:szCs w:val="18"/>
        </w:rPr>
      </w:pPr>
      <w:r>
        <w:rPr>
          <w:rFonts w:ascii="Arial" w:hAnsi="Arial" w:cs="Arial"/>
          <w:bCs/>
          <w:sz w:val="18"/>
          <w:szCs w:val="18"/>
        </w:rPr>
        <w:t>Cihaz kalibrasyon işlemi için standart A ve B kısa vorteks yapıldıktan sonra sırası ile okutulur ve doğru orantı grafiği elde edilir.</w:t>
      </w:r>
    </w:p>
    <w:p w:rsidR="00C855FD" w:rsidRDefault="004A7F6B">
      <w:pPr>
        <w:pStyle w:val="ListeParagraf"/>
        <w:numPr>
          <w:ilvl w:val="0"/>
          <w:numId w:val="1"/>
        </w:numPr>
        <w:suppressAutoHyphens w:val="0"/>
        <w:contextualSpacing/>
        <w:rPr>
          <w:rFonts w:ascii="Arial" w:hAnsi="Arial" w:cs="Arial"/>
          <w:bCs/>
          <w:sz w:val="18"/>
          <w:szCs w:val="18"/>
        </w:rPr>
      </w:pPr>
      <w:r>
        <w:rPr>
          <w:rFonts w:ascii="Arial" w:hAnsi="Arial" w:cs="Arial"/>
          <w:bCs/>
          <w:sz w:val="18"/>
          <w:szCs w:val="18"/>
        </w:rPr>
        <w:t>Numuneler kısa bir vorteks yapıldıktan sonra cihaza tek tek yüklenerek okutma işlemi yapılır.</w:t>
      </w:r>
    </w:p>
    <w:p w:rsidR="00C855FD" w:rsidRDefault="004A7F6B">
      <w:pPr>
        <w:rPr>
          <w:rFonts w:ascii="Arial" w:hAnsi="Arial" w:cs="Arial"/>
          <w:bCs/>
          <w:sz w:val="18"/>
          <w:szCs w:val="18"/>
        </w:rPr>
      </w:pPr>
      <w:r>
        <w:rPr>
          <w:rFonts w:ascii="Arial" w:hAnsi="Arial" w:cs="Arial"/>
          <w:bCs/>
          <w:sz w:val="18"/>
          <w:szCs w:val="18"/>
        </w:rPr>
        <w:t>Qubit 2.0 Fluorometre, ng / mL cinsinden Qubit ™ dsDNA HS testine değer verir. Bu değer, numunenin test tüpüne seyreltildikten sonra konsantrasyonuna karşılık gelir.</w:t>
      </w:r>
    </w:p>
    <w:p w:rsidR="00C855FD" w:rsidRDefault="004A7F6B">
      <w:pPr>
        <w:tabs>
          <w:tab w:val="left" w:pos="284"/>
        </w:tabs>
        <w:suppressAutoHyphens w:val="0"/>
        <w:jc w:val="both"/>
      </w:pPr>
      <w:r>
        <w:rPr>
          <w:rFonts w:ascii="Arial" w:hAnsi="Arial" w:cs="Arial"/>
          <w:b/>
          <w:bCs/>
          <w:color w:val="000000"/>
          <w:sz w:val="18"/>
          <w:szCs w:val="18"/>
          <w:lang w:val="tr-TR" w:eastAsia="en-US"/>
        </w:rPr>
        <w:t>(</w:t>
      </w:r>
      <w:hyperlink r:id="rId6">
        <w:r>
          <w:rPr>
            <w:rStyle w:val="Kpr"/>
            <w:rFonts w:ascii="Arial" w:hAnsi="Arial" w:cs="Arial"/>
            <w:b/>
            <w:bCs/>
            <w:color w:val="000000"/>
            <w:sz w:val="18"/>
            <w:szCs w:val="18"/>
            <w:u w:val="none"/>
            <w:lang w:val="tr-TR" w:eastAsia="en-US"/>
          </w:rPr>
          <w:t>https://www.thermofisher.com/order/catalog/product/Q32854</w:t>
        </w:r>
      </w:hyperlink>
      <w:r>
        <w:rPr>
          <w:rStyle w:val="Kpr"/>
          <w:rFonts w:ascii="Arial" w:hAnsi="Arial" w:cs="Arial"/>
          <w:b/>
          <w:bCs/>
          <w:color w:val="000000"/>
          <w:sz w:val="18"/>
          <w:szCs w:val="18"/>
          <w:u w:val="none"/>
          <w:lang w:val="tr-TR" w:eastAsia="en-US"/>
        </w:rPr>
        <w:t xml:space="preserve"> )</w:t>
      </w:r>
    </w:p>
    <w:p w:rsidR="00C855FD" w:rsidRDefault="00C855FD">
      <w:pPr>
        <w:tabs>
          <w:tab w:val="left" w:pos="284"/>
        </w:tabs>
        <w:suppressAutoHyphens w:val="0"/>
        <w:jc w:val="both"/>
        <w:rPr>
          <w:rFonts w:ascii="Arial" w:hAnsi="Arial" w:cs="Arial"/>
          <w:b/>
          <w:bCs/>
          <w:sz w:val="18"/>
          <w:szCs w:val="18"/>
          <w:lang w:val="tr-TR" w:eastAsia="en-US"/>
        </w:rPr>
      </w:pPr>
    </w:p>
    <w:p w:rsidR="00C855FD" w:rsidRDefault="004A7F6B">
      <w:pPr>
        <w:suppressAutoHyphens w:val="0"/>
        <w:rPr>
          <w:rFonts w:ascii="Arial" w:eastAsia="Calibri" w:hAnsi="Arial" w:cs="Arial"/>
          <w:b/>
          <w:sz w:val="18"/>
          <w:szCs w:val="18"/>
          <w:lang w:val="tr-TR" w:eastAsia="en-US"/>
        </w:rPr>
      </w:pPr>
      <w:r>
        <w:rPr>
          <w:rFonts w:ascii="Arial" w:eastAsia="Calibri" w:hAnsi="Arial" w:cs="Arial"/>
          <w:b/>
          <w:sz w:val="18"/>
          <w:szCs w:val="18"/>
          <w:lang w:val="tr-TR" w:eastAsia="en-US"/>
        </w:rPr>
        <w:t>16s rRNA Gen Sekanslama ve Bileşimsel Analizler</w:t>
      </w:r>
    </w:p>
    <w:p w:rsidR="00C855FD" w:rsidRDefault="004A7F6B">
      <w:r>
        <w:rPr>
          <w:rFonts w:ascii="Arial" w:eastAsia="Calibri" w:hAnsi="Arial" w:cs="Arial"/>
          <w:sz w:val="18"/>
          <w:szCs w:val="18"/>
          <w:lang w:val="tr-TR" w:eastAsia="en-US"/>
        </w:rPr>
        <w:t>Ekstrakte edilen bakteri DNA’larında bulunan 16S rDNA bölgesi cihaz üreticisinin önerdiği protokol takip edilerek (</w:t>
      </w:r>
      <w:r>
        <w:rPr>
          <w:rFonts w:ascii="sans-serif;Arial" w:eastAsia="Calibri" w:hAnsi="sans-serif;Arial" w:cs="sans-serif;Arial"/>
          <w:sz w:val="18"/>
          <w:szCs w:val="18"/>
          <w:lang w:val="tr-TR" w:eastAsia="en-US"/>
        </w:rPr>
        <w:t>16S Metagenomic Sequencing Library Preparation Guide, Illumina</w:t>
      </w:r>
      <w:r>
        <w:rPr>
          <w:rFonts w:ascii="Arial" w:eastAsia="Calibri" w:hAnsi="Arial" w:cs="Arial"/>
          <w:sz w:val="18"/>
          <w:szCs w:val="18"/>
          <w:lang w:val="tr-TR" w:eastAsia="en-US"/>
        </w:rPr>
        <w:t xml:space="preserve">) (https://support.illumina.com/documents/documentation/chemistry_documentation/16s/16s-metagenomic-library-prep-guide-15044223-b.pdf) V3-V4 bölgesi </w:t>
      </w:r>
      <w:r>
        <w:rPr>
          <w:lang w:eastAsia="en-US"/>
        </w:rPr>
        <w:t>314F-860R</w:t>
      </w:r>
      <w:r>
        <w:rPr>
          <w:rFonts w:ascii="Times New Roman" w:eastAsia="Calibri" w:hAnsi="Times New Roman" w:cs="Times New Roman"/>
          <w:lang w:eastAsia="en-US"/>
        </w:rPr>
        <w:t xml:space="preserve"> primerleri</w:t>
      </w:r>
      <w:r>
        <w:rPr>
          <w:rFonts w:ascii="Arial" w:eastAsia="Calibri" w:hAnsi="Arial" w:cs="Arial"/>
          <w:sz w:val="18"/>
          <w:szCs w:val="18"/>
          <w:lang w:val="tr-TR" w:eastAsia="en-US"/>
        </w:rPr>
        <w:t xml:space="preserve"> ile </w:t>
      </w:r>
      <w:bookmarkStart w:id="1" w:name="page110R_mcid20"/>
      <w:bookmarkEnd w:id="1"/>
      <w:r>
        <w:rPr>
          <w:rFonts w:ascii="sans-serif" w:eastAsia="Calibri" w:hAnsi="sans-serif" w:cs="Arial"/>
          <w:sz w:val="18"/>
          <w:szCs w:val="18"/>
          <w:lang w:val="tr-TR" w:eastAsia="en-US"/>
        </w:rPr>
        <w:t>NXTR®️</w:t>
      </w:r>
      <w:r>
        <w:rPr>
          <w:rFonts w:ascii="Arial" w:eastAsia="Calibri" w:hAnsi="Arial" w:cs="Arial"/>
          <w:sz w:val="18"/>
          <w:szCs w:val="18"/>
          <w:lang w:val="tr-TR" w:eastAsia="en-US"/>
        </w:rPr>
        <w:t xml:space="preserve"> </w:t>
      </w:r>
      <w:r>
        <w:rPr>
          <w:rFonts w:ascii="sans-serif" w:eastAsia="Calibri" w:hAnsi="sans-serif" w:cs="Arial"/>
          <w:sz w:val="18"/>
          <w:szCs w:val="18"/>
          <w:lang w:val="tr-TR" w:eastAsia="en-US"/>
        </w:rPr>
        <w:t xml:space="preserve">XT DNA SMP Prep kit kullanılarak </w:t>
      </w:r>
      <w:r>
        <w:rPr>
          <w:rFonts w:ascii="Arial" w:eastAsia="Calibri" w:hAnsi="Arial" w:cs="Arial"/>
          <w:sz w:val="18"/>
          <w:szCs w:val="18"/>
          <w:lang w:val="tr-TR" w:eastAsia="en-US"/>
        </w:rPr>
        <w:t xml:space="preserve">amplifike edildikten sonra Dizileme sırasında herbir numunenin birbirinden ayrılmasını sağlayan index dizileri Nextera XT index kullanılarak ve yine aynı protkole uyularak ayrı ayrı numunelerden elde edilen amplikonların uçlarına bağlanır. </w:t>
      </w:r>
    </w:p>
    <w:p w:rsidR="00C855FD" w:rsidRDefault="004A7F6B">
      <w:r>
        <w:rPr>
          <w:rFonts w:ascii="Arial" w:eastAsia="Calibri" w:hAnsi="Arial" w:cs="Arial"/>
          <w:sz w:val="18"/>
          <w:szCs w:val="18"/>
          <w:lang w:val="tr-TR" w:eastAsia="en-US"/>
        </w:rPr>
        <w:t xml:space="preserve">MiSeq platformunda (Illimuna) 2x250 bp pair-end (çift uçlu) protokolü takip edilerek  </w:t>
      </w:r>
      <w:bookmarkStart w:id="2" w:name="page110R_mcid14"/>
      <w:bookmarkEnd w:id="2"/>
      <w:r>
        <w:rPr>
          <w:rFonts w:ascii="sans-serif" w:eastAsia="Calibri" w:hAnsi="sans-serif" w:cs="Arial"/>
          <w:sz w:val="18"/>
          <w:szCs w:val="18"/>
          <w:lang w:val="tr-TR" w:eastAsia="en-US"/>
        </w:rPr>
        <w:t>MiSeq Reagent Kit v3 (600 cycle)</w:t>
      </w:r>
      <w:bookmarkStart w:id="3" w:name="page110R_mcid15"/>
      <w:bookmarkEnd w:id="3"/>
      <w:r>
        <w:rPr>
          <w:rFonts w:ascii="Arial" w:eastAsia="Calibri" w:hAnsi="Arial" w:cs="Arial"/>
          <w:sz w:val="18"/>
          <w:szCs w:val="18"/>
          <w:lang w:val="tr-TR" w:eastAsia="en-US"/>
        </w:rPr>
        <w:t xml:space="preserve">  reagent kit içerisinden çıkan kartujda ilgili kuyucuğa numune yüklenerek dizileme gerçekleştirilir. </w:t>
      </w:r>
    </w:p>
    <w:p w:rsidR="00C855FD" w:rsidRDefault="00C855FD"/>
    <w:p w:rsidR="00C855FD" w:rsidRDefault="004A7F6B">
      <w:pPr>
        <w:rPr>
          <w:rFonts w:ascii="Arial" w:eastAsia="Calibri" w:hAnsi="Arial" w:cs="Arial"/>
          <w:color w:val="000000"/>
          <w:sz w:val="18"/>
          <w:szCs w:val="18"/>
          <w:lang w:val="tr-TR" w:eastAsia="en-US"/>
        </w:rPr>
      </w:pPr>
      <w:r>
        <w:rPr>
          <w:rFonts w:ascii="Arial" w:eastAsia="Calibri" w:hAnsi="Arial" w:cs="Arial"/>
          <w:color w:val="000000"/>
          <w:sz w:val="18"/>
          <w:szCs w:val="18"/>
          <w:lang w:val="tr-TR" w:eastAsia="en-US"/>
        </w:rPr>
        <w:t xml:space="preserve">Dizileme cihazından “.fastq” uzantılı olarak elde edilen veriler NIH tarafından yürütülen İnsan Mikrobiyom Projesinde önerilen uygulamalardan biri olan qiime2 sistemi ile işleme alınır. Qiime 2 sistemine yüklenen veriler öncelikle okuma kalite skorlarına  ve okuma derinliklerine bakılır. Daha sonra bu işlemi takiben DADA2 algoritması kullanılarak elde edilen verinin kalite filtrasyonları sağlanır (Kimera temizlenmesi, düşük kalite okumalar vs.). DADA2 algoritması ile elde edilen ASV’ler (Amplikon Sekans Varyant)  ile filogenik ağaçlar oluşturulur ve sonrasında qiime2 sistamine uygun hale getirilmiş silva138 veri tabanı ile haritalanır. </w:t>
      </w:r>
    </w:p>
    <w:p w:rsidR="00C855FD" w:rsidRDefault="00C855FD"/>
    <w:p w:rsidR="00C855FD" w:rsidRDefault="004A7F6B">
      <w:pPr>
        <w:rPr>
          <w:rFonts w:ascii="Arial" w:eastAsia="Calibri" w:hAnsi="Arial" w:cs="Arial"/>
          <w:color w:val="000000"/>
          <w:sz w:val="18"/>
          <w:szCs w:val="18"/>
          <w:lang w:val="tr-TR" w:eastAsia="en-US"/>
        </w:rPr>
      </w:pPr>
      <w:r>
        <w:rPr>
          <w:rFonts w:ascii="Arial" w:eastAsia="Calibri" w:hAnsi="Arial" w:cs="Arial"/>
          <w:color w:val="000000"/>
          <w:sz w:val="18"/>
          <w:szCs w:val="18"/>
          <w:lang w:val="tr-TR" w:eastAsia="en-US"/>
        </w:rPr>
        <w:lastRenderedPageBreak/>
        <w:t xml:space="preserve">Gruplar arası istatiksel analizler veri görselleştirmeleri için ilgili qiime2 dosyaalrı R studio çevresine yüklenir ve phyloseq objesi oluşturulur. Daha sonra başta “Vegan” ve “phyloseq”  paketleri kullanılarak alfa çeşitlilik, beta çeşitlilik, lefse analizi gibi istatiksel yaklaşımlar ile veri analizi yapılır. </w:t>
      </w:r>
    </w:p>
    <w:sectPr w:rsidR="00C855FD">
      <w:pgSz w:w="12240" w:h="15840"/>
      <w:pgMar w:top="1134" w:right="1134" w:bottom="1134" w:left="1134" w:header="0" w:footer="0" w:gutter="0"/>
      <w:cols w:space="708"/>
      <w:formProt w:val="0"/>
      <w:docGrid w:linePitch="10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A2"/>
    <w:family w:val="roman"/>
    <w:pitch w:val="variable"/>
    <w:sig w:usb0="E0002EFF" w:usb1="C000785B" w:usb2="00000009" w:usb3="00000000" w:csb0="000001FF" w:csb1="00000000"/>
  </w:font>
  <w:font w:name="Liberation Serif">
    <w:altName w:val="Times New Roman"/>
    <w:charset w:val="01"/>
    <w:family w:val="roman"/>
    <w:pitch w:val="variable"/>
  </w:font>
  <w:font w:name="Noto Serif CJK SC">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ans">
    <w:altName w:val="Arial"/>
    <w:charset w:val="01"/>
    <w:family w:val="roman"/>
    <w:pitch w:val="variable"/>
  </w:font>
  <w:font w:name="Noto Sans CJK SC">
    <w:panose1 w:val="00000000000000000000"/>
    <w:charset w:val="00"/>
    <w:family w:val="roman"/>
    <w:notTrueType/>
    <w:pitch w:val="default"/>
  </w:font>
  <w:font w:name="Arial">
    <w:panose1 w:val="020B0604020202020204"/>
    <w:charset w:val="A2"/>
    <w:family w:val="swiss"/>
    <w:pitch w:val="variable"/>
    <w:sig w:usb0="E0002EFF" w:usb1="C000785B" w:usb2="00000009" w:usb3="00000000" w:csb0="000001FF" w:csb1="00000000"/>
  </w:font>
  <w:font w:name="Calibri">
    <w:panose1 w:val="020F0502020204030204"/>
    <w:charset w:val="A2"/>
    <w:family w:val="swiss"/>
    <w:pitch w:val="variable"/>
    <w:sig w:usb0="E4002EFF" w:usb1="C000247B" w:usb2="00000009" w:usb3="00000000" w:csb0="000001FF" w:csb1="00000000"/>
  </w:font>
  <w:font w:name="sans-serif;Arial">
    <w:altName w:val="Times New Roman"/>
    <w:panose1 w:val="00000000000000000000"/>
    <w:charset w:val="00"/>
    <w:family w:val="roman"/>
    <w:notTrueType/>
    <w:pitch w:val="default"/>
  </w:font>
  <w:font w:name="sans-serif">
    <w:altName w:val="Arial"/>
    <w:charset w:val="01"/>
    <w:family w:val="roman"/>
    <w:pitch w:val="variable"/>
  </w:font>
  <w:font w:name="Calibri Light">
    <w:panose1 w:val="020F0302020204030204"/>
    <w:charset w:val="A2"/>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B877AE"/>
    <w:multiLevelType w:val="multilevel"/>
    <w:tmpl w:val="37AE7196"/>
    <w:lvl w:ilvl="0">
      <w:start w:val="1"/>
      <w:numFmt w:val="decimal"/>
      <w:lvlText w:val="%1."/>
      <w:lvlJc w:val="left"/>
      <w:pPr>
        <w:tabs>
          <w:tab w:val="num" w:pos="0"/>
        </w:tabs>
        <w:ind w:left="720" w:hanging="360"/>
      </w:pPr>
      <w:rPr>
        <w:b w:val="0"/>
        <w:bCs w:val="0"/>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15:restartNumberingAfterBreak="0">
    <w:nsid w:val="09D73634"/>
    <w:multiLevelType w:val="multilevel"/>
    <w:tmpl w:val="72CA26D8"/>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defaultTabStop w:val="709"/>
  <w:autoHyphenation/>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55FD"/>
    <w:rsid w:val="000E5571"/>
    <w:rsid w:val="004A7F6B"/>
    <w:rsid w:val="00C855FD"/>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5F4E5AF-E146-40E9-9DE9-6A2BDB1710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Liberation Serif" w:eastAsia="Noto Serif CJK SC" w:hAnsi="Liberation Serif" w:cs="Lohit Devanagari"/>
        <w:kern w:val="2"/>
        <w:sz w:val="24"/>
        <w:szCs w:val="24"/>
        <w:lang w:val="en-US" w:eastAsia="zh-CN" w:bidi="hi-IN"/>
      </w:rPr>
    </w:rPrDefault>
    <w:pPrDefault>
      <w:pPr>
        <w:suppressAutoHyphens/>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styleId="Kpr">
    <w:name w:val="Hyperlink"/>
    <w:rPr>
      <w:color w:val="0000FF"/>
      <w:u w:val="single"/>
    </w:rPr>
  </w:style>
  <w:style w:type="character" w:styleId="zlenenKpr">
    <w:name w:val="FollowedHyperlink"/>
    <w:rPr>
      <w:color w:val="800080"/>
      <w:u w:val="single"/>
    </w:rPr>
  </w:style>
  <w:style w:type="character" w:customStyle="1" w:styleId="WW8Num12z0">
    <w:name w:val="WW8Num12z0"/>
    <w:qFormat/>
    <w:rPr>
      <w:b w:val="0"/>
      <w:bCs w:val="0"/>
    </w:rPr>
  </w:style>
  <w:style w:type="paragraph" w:customStyle="1" w:styleId="Heading">
    <w:name w:val="Heading"/>
    <w:basedOn w:val="Normal"/>
    <w:next w:val="GvdeMetni"/>
    <w:qFormat/>
    <w:pPr>
      <w:keepNext/>
      <w:spacing w:before="240" w:after="120"/>
    </w:pPr>
    <w:rPr>
      <w:rFonts w:ascii="Liberation Sans" w:eastAsia="Noto Sans CJK SC" w:hAnsi="Liberation Sans"/>
      <w:sz w:val="28"/>
      <w:szCs w:val="28"/>
    </w:rPr>
  </w:style>
  <w:style w:type="paragraph" w:styleId="GvdeMetni">
    <w:name w:val="Body Text"/>
    <w:basedOn w:val="Normal"/>
    <w:pPr>
      <w:spacing w:after="140" w:line="276" w:lineRule="auto"/>
    </w:pPr>
  </w:style>
  <w:style w:type="paragraph" w:styleId="Liste">
    <w:name w:val="List"/>
    <w:basedOn w:val="GvdeMetni"/>
  </w:style>
  <w:style w:type="paragraph" w:styleId="ResimYazs">
    <w:name w:val="caption"/>
    <w:basedOn w:val="Normal"/>
    <w:qFormat/>
    <w:pPr>
      <w:suppressLineNumbers/>
      <w:spacing w:before="120" w:after="120"/>
    </w:pPr>
    <w:rPr>
      <w:i/>
      <w:iCs/>
    </w:rPr>
  </w:style>
  <w:style w:type="paragraph" w:customStyle="1" w:styleId="Index">
    <w:name w:val="Index"/>
    <w:basedOn w:val="Normal"/>
    <w:qFormat/>
    <w:pPr>
      <w:suppressLineNumbers/>
    </w:pPr>
  </w:style>
  <w:style w:type="paragraph" w:styleId="ListeParagraf">
    <w:name w:val="List Paragraph"/>
    <w:basedOn w:val="Normal"/>
    <w:qFormat/>
    <w:pPr>
      <w:ind w:left="708"/>
    </w:pPr>
  </w:style>
  <w:style w:type="numbering" w:customStyle="1" w:styleId="WW8Num12">
    <w:name w:val="WW8Num12"/>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thermofisher.com/order/catalog/product/Q32854" TargetMode="External"/><Relationship Id="rId5" Type="http://schemas.openxmlformats.org/officeDocument/2006/relationships/hyperlink" Target="http://www.titertek-berthold.com/microvolumespectrometers/details/product/colibri/action/show.html" TargetMode="External"/><Relationship Id="rId4" Type="http://schemas.openxmlformats.org/officeDocument/2006/relationships/webSettings" Target="webSetting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737</Words>
  <Characters>4204</Characters>
  <Application>Microsoft Office Word</Application>
  <DocSecurity>0</DocSecurity>
  <Lines>35</Lines>
  <Paragraphs>9</Paragraphs>
  <ScaleCrop>false</ScaleCrop>
  <HeadingPairs>
    <vt:vector size="2" baseType="variant">
      <vt:variant>
        <vt:lpstr>Konu Başlığı</vt:lpstr>
      </vt:variant>
      <vt:variant>
        <vt:i4>1</vt:i4>
      </vt:variant>
    </vt:vector>
  </HeadingPairs>
  <TitlesOfParts>
    <vt:vector size="1" baseType="lpstr">
      <vt:lpstr/>
    </vt:vector>
  </TitlesOfParts>
  <Company>Silentall Unattended Installer</Company>
  <LinksUpToDate>false</LinksUpToDate>
  <CharactersWithSpaces>4932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Samet ECE</dc:creator>
  <dc:description/>
  <cp:lastModifiedBy>PC</cp:lastModifiedBy>
  <cp:revision>1</cp:revision>
  <dcterms:created xsi:type="dcterms:W3CDTF">2023-07-07T09:25:00Z</dcterms:created>
  <dcterms:modified xsi:type="dcterms:W3CDTF">2023-11-14T06:45:00Z</dcterms:modified>
  <dc:language>en-US</dc:language>
</cp:coreProperties>
</file>